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356A0" w14:textId="77777777" w:rsidR="002577FA" w:rsidRPr="002577FA" w:rsidRDefault="002577FA" w:rsidP="002577FA">
      <w:pPr>
        <w:shd w:val="clear" w:color="auto" w:fill="FFFFFF"/>
        <w:spacing w:after="167" w:line="240" w:lineRule="auto"/>
        <w:outlineLvl w:val="0"/>
        <w:rPr>
          <w:rFonts w:eastAsia="Times New Roman" w:cstheme="minorHAnsi"/>
          <w:color w:val="02487E"/>
          <w:kern w:val="36"/>
          <w:sz w:val="54"/>
          <w:szCs w:val="54"/>
          <w:lang w:eastAsia="en-GB"/>
        </w:rPr>
      </w:pPr>
      <w:r w:rsidRPr="002577FA">
        <w:rPr>
          <w:rFonts w:eastAsia="Times New Roman" w:cstheme="minorHAnsi"/>
          <w:color w:val="02487E"/>
          <w:kern w:val="36"/>
          <w:sz w:val="54"/>
          <w:szCs w:val="54"/>
          <w:lang w:eastAsia="en-GB"/>
        </w:rPr>
        <w:t>Privacy Summary</w:t>
      </w:r>
    </w:p>
    <w:p w14:paraId="699F0AFE" w14:textId="77777777" w:rsidR="002577FA" w:rsidRPr="002577FA" w:rsidRDefault="002577FA" w:rsidP="002577FA">
      <w:pPr>
        <w:shd w:val="clear" w:color="auto" w:fill="FFFFFF"/>
        <w:spacing w:after="167" w:line="240" w:lineRule="auto"/>
        <w:rPr>
          <w:rFonts w:eastAsia="Times New Roman" w:cstheme="minorHAnsi"/>
          <w:color w:val="555555"/>
          <w:sz w:val="21"/>
          <w:szCs w:val="21"/>
          <w:lang w:eastAsia="en-GB"/>
        </w:rPr>
      </w:pPr>
      <w:r w:rsidRPr="002577FA">
        <w:rPr>
          <w:rFonts w:eastAsia="Times New Roman" w:cstheme="minorHAnsi"/>
          <w:b/>
          <w:bCs/>
          <w:color w:val="555555"/>
          <w:sz w:val="21"/>
          <w:szCs w:val="21"/>
          <w:lang w:eastAsia="en-GB"/>
        </w:rPr>
        <w:t>Personal Data Definition</w:t>
      </w:r>
    </w:p>
    <w:p w14:paraId="1575AE6F" w14:textId="77777777" w:rsidR="002577FA" w:rsidRPr="002577FA" w:rsidRDefault="002577FA" w:rsidP="002577FA">
      <w:pPr>
        <w:shd w:val="clear" w:color="auto" w:fill="FFFFFF"/>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The law defines “personal data” as any information that can be used to identify an individual.</w:t>
      </w:r>
    </w:p>
    <w:p w14:paraId="5EB18AF9" w14:textId="77777777" w:rsidR="002577FA" w:rsidRPr="002577FA" w:rsidRDefault="002577FA" w:rsidP="002577FA">
      <w:pPr>
        <w:shd w:val="clear" w:color="auto" w:fill="FFFFFF"/>
        <w:spacing w:after="167" w:line="240" w:lineRule="auto"/>
        <w:rPr>
          <w:rFonts w:eastAsia="Times New Roman" w:cstheme="minorHAnsi"/>
          <w:color w:val="555555"/>
          <w:sz w:val="21"/>
          <w:szCs w:val="21"/>
          <w:lang w:eastAsia="en-GB"/>
        </w:rPr>
      </w:pPr>
      <w:r w:rsidRPr="002577FA">
        <w:rPr>
          <w:rFonts w:eastAsia="Times New Roman" w:cstheme="minorHAnsi"/>
          <w:b/>
          <w:bCs/>
          <w:color w:val="555555"/>
          <w:sz w:val="21"/>
          <w:szCs w:val="21"/>
          <w:lang w:eastAsia="en-GB"/>
        </w:rPr>
        <w:t>Personal Data Held</w:t>
      </w:r>
    </w:p>
    <w:p w14:paraId="5C2D6A91" w14:textId="096108D5" w:rsidR="002577FA" w:rsidRPr="002577FA" w:rsidRDefault="002577FA" w:rsidP="002577FA">
      <w:pPr>
        <w:shd w:val="clear" w:color="auto" w:fill="FFFFFF"/>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 xml:space="preserve">The personal data </w:t>
      </w:r>
      <w:proofErr w:type="spellStart"/>
      <w:r>
        <w:rPr>
          <w:rFonts w:eastAsia="Times New Roman" w:cstheme="minorHAnsi"/>
          <w:color w:val="555555"/>
          <w:sz w:val="21"/>
          <w:szCs w:val="21"/>
          <w:lang w:eastAsia="en-GB"/>
        </w:rPr>
        <w:t>Saphestera</w:t>
      </w:r>
      <w:proofErr w:type="spellEnd"/>
      <w:r>
        <w:rPr>
          <w:rFonts w:eastAsia="Times New Roman" w:cstheme="minorHAnsi"/>
          <w:color w:val="555555"/>
          <w:sz w:val="21"/>
          <w:szCs w:val="21"/>
          <w:lang w:eastAsia="en-GB"/>
        </w:rPr>
        <w:t xml:space="preserve"> Limited</w:t>
      </w:r>
      <w:r w:rsidRPr="002577FA">
        <w:rPr>
          <w:rFonts w:eastAsia="Times New Roman" w:cstheme="minorHAnsi"/>
          <w:color w:val="555555"/>
          <w:sz w:val="21"/>
          <w:szCs w:val="21"/>
          <w:lang w:eastAsia="en-GB"/>
        </w:rPr>
        <w:t xml:space="preserve"> holds about you relates to your name, </w:t>
      </w:r>
      <w:r>
        <w:rPr>
          <w:rFonts w:eastAsia="Times New Roman" w:cstheme="minorHAnsi"/>
          <w:color w:val="555555"/>
          <w:sz w:val="21"/>
          <w:szCs w:val="21"/>
          <w:lang w:eastAsia="en-GB"/>
        </w:rPr>
        <w:t xml:space="preserve">the name of your employer and your employer’s address. </w:t>
      </w:r>
    </w:p>
    <w:p w14:paraId="555E1D08" w14:textId="77777777" w:rsidR="002577FA" w:rsidRPr="002577FA" w:rsidRDefault="002577FA" w:rsidP="002577FA">
      <w:pPr>
        <w:shd w:val="clear" w:color="auto" w:fill="FFFFFF"/>
        <w:spacing w:after="167" w:line="240" w:lineRule="auto"/>
        <w:rPr>
          <w:rFonts w:eastAsia="Times New Roman" w:cstheme="minorHAnsi"/>
          <w:color w:val="555555"/>
          <w:sz w:val="21"/>
          <w:szCs w:val="21"/>
          <w:lang w:eastAsia="en-GB"/>
        </w:rPr>
      </w:pPr>
      <w:r w:rsidRPr="002577FA">
        <w:rPr>
          <w:rFonts w:eastAsia="Times New Roman" w:cstheme="minorHAnsi"/>
          <w:b/>
          <w:bCs/>
          <w:color w:val="555555"/>
          <w:sz w:val="21"/>
          <w:szCs w:val="21"/>
          <w:lang w:eastAsia="en-GB"/>
        </w:rPr>
        <w:t>Personal Data Storage</w:t>
      </w:r>
    </w:p>
    <w:p w14:paraId="168CAC60" w14:textId="51C80E84" w:rsidR="002577FA" w:rsidRPr="002577FA" w:rsidRDefault="002577FA" w:rsidP="002577FA">
      <w:pPr>
        <w:shd w:val="clear" w:color="auto" w:fill="FFFFFF"/>
        <w:spacing w:after="167" w:line="240" w:lineRule="auto"/>
        <w:rPr>
          <w:rFonts w:eastAsia="Times New Roman" w:cstheme="minorHAnsi"/>
          <w:color w:val="555555"/>
          <w:sz w:val="21"/>
          <w:szCs w:val="21"/>
          <w:lang w:eastAsia="en-GB"/>
        </w:rPr>
      </w:pPr>
      <w:proofErr w:type="spellStart"/>
      <w:r>
        <w:rPr>
          <w:rFonts w:eastAsia="Times New Roman" w:cstheme="minorHAnsi"/>
          <w:color w:val="555555"/>
          <w:sz w:val="21"/>
          <w:szCs w:val="21"/>
          <w:lang w:eastAsia="en-GB"/>
        </w:rPr>
        <w:t>Saphestera</w:t>
      </w:r>
      <w:proofErr w:type="spellEnd"/>
      <w:r>
        <w:rPr>
          <w:rFonts w:eastAsia="Times New Roman" w:cstheme="minorHAnsi"/>
          <w:color w:val="555555"/>
          <w:sz w:val="21"/>
          <w:szCs w:val="21"/>
          <w:lang w:eastAsia="en-GB"/>
        </w:rPr>
        <w:t xml:space="preserve"> Limited</w:t>
      </w:r>
      <w:r w:rsidRPr="002577FA">
        <w:rPr>
          <w:rFonts w:eastAsia="Times New Roman" w:cstheme="minorHAnsi"/>
          <w:color w:val="555555"/>
          <w:sz w:val="21"/>
          <w:szCs w:val="21"/>
          <w:lang w:eastAsia="en-GB"/>
        </w:rPr>
        <w:t xml:space="preserve"> holds personal data in a secure cloud in approved data centres within the European Union. Information is stored in a protected repository where data is collected from all sectors of the Organisation and processed in line with the Company policies and current data laws. </w:t>
      </w:r>
    </w:p>
    <w:p w14:paraId="2DBDAB01" w14:textId="77777777" w:rsidR="002577FA" w:rsidRPr="002577FA" w:rsidRDefault="002577FA" w:rsidP="002577FA">
      <w:pPr>
        <w:shd w:val="clear" w:color="auto" w:fill="FFFFFF"/>
        <w:spacing w:after="167" w:line="240" w:lineRule="auto"/>
        <w:rPr>
          <w:rFonts w:eastAsia="Times New Roman" w:cstheme="minorHAnsi"/>
          <w:color w:val="555555"/>
          <w:sz w:val="21"/>
          <w:szCs w:val="21"/>
          <w:lang w:eastAsia="en-GB"/>
        </w:rPr>
      </w:pPr>
      <w:r w:rsidRPr="002577FA">
        <w:rPr>
          <w:rFonts w:eastAsia="Times New Roman" w:cstheme="minorHAnsi"/>
          <w:b/>
          <w:bCs/>
          <w:color w:val="555555"/>
          <w:sz w:val="21"/>
          <w:szCs w:val="21"/>
          <w:lang w:eastAsia="en-GB"/>
        </w:rPr>
        <w:t>Personal Data Usage</w:t>
      </w:r>
    </w:p>
    <w:p w14:paraId="60560DD1" w14:textId="610A18DA" w:rsidR="002577FA" w:rsidRPr="002577FA" w:rsidRDefault="002577FA" w:rsidP="002577FA">
      <w:pPr>
        <w:shd w:val="clear" w:color="auto" w:fill="FFFFFF"/>
        <w:spacing w:after="167" w:line="240" w:lineRule="auto"/>
        <w:rPr>
          <w:rFonts w:eastAsia="Times New Roman" w:cstheme="minorHAnsi"/>
          <w:color w:val="555555"/>
          <w:sz w:val="21"/>
          <w:szCs w:val="21"/>
          <w:lang w:eastAsia="en-GB"/>
        </w:rPr>
      </w:pPr>
      <w:proofErr w:type="spellStart"/>
      <w:r>
        <w:rPr>
          <w:rFonts w:eastAsia="Times New Roman" w:cstheme="minorHAnsi"/>
          <w:color w:val="555555"/>
          <w:sz w:val="21"/>
          <w:szCs w:val="21"/>
          <w:lang w:eastAsia="en-GB"/>
        </w:rPr>
        <w:t>Saphestera</w:t>
      </w:r>
      <w:proofErr w:type="spellEnd"/>
      <w:r>
        <w:rPr>
          <w:rFonts w:eastAsia="Times New Roman" w:cstheme="minorHAnsi"/>
          <w:color w:val="555555"/>
          <w:sz w:val="21"/>
          <w:szCs w:val="21"/>
          <w:lang w:eastAsia="en-GB"/>
        </w:rPr>
        <w:t xml:space="preserve"> Limited</w:t>
      </w:r>
      <w:r w:rsidRPr="002577FA">
        <w:rPr>
          <w:rFonts w:eastAsia="Times New Roman" w:cstheme="minorHAnsi"/>
          <w:color w:val="555555"/>
          <w:sz w:val="21"/>
          <w:szCs w:val="21"/>
          <w:lang w:eastAsia="en-GB"/>
        </w:rPr>
        <w:t xml:space="preserve"> uses personal data whilst applying searches and algorithms to predict future business, identify business opportunities, marketing, assess risk factors etc, and under certain circumstances links that data to other Organisational data.  </w:t>
      </w:r>
    </w:p>
    <w:p w14:paraId="605CFD90" w14:textId="77777777" w:rsidR="002577FA" w:rsidRPr="002577FA" w:rsidRDefault="002577FA" w:rsidP="002577FA">
      <w:pPr>
        <w:shd w:val="clear" w:color="auto" w:fill="FFFFFF"/>
        <w:spacing w:after="167" w:line="240" w:lineRule="auto"/>
        <w:rPr>
          <w:rFonts w:eastAsia="Times New Roman" w:cstheme="minorHAnsi"/>
          <w:color w:val="555555"/>
          <w:sz w:val="21"/>
          <w:szCs w:val="21"/>
          <w:lang w:eastAsia="en-GB"/>
        </w:rPr>
      </w:pPr>
      <w:r w:rsidRPr="002577FA">
        <w:rPr>
          <w:rFonts w:eastAsia="Times New Roman" w:cstheme="minorHAnsi"/>
          <w:b/>
          <w:bCs/>
          <w:color w:val="555555"/>
          <w:sz w:val="21"/>
          <w:szCs w:val="21"/>
          <w:lang w:eastAsia="en-GB"/>
        </w:rPr>
        <w:t>Personal Data Reporting</w:t>
      </w:r>
    </w:p>
    <w:p w14:paraId="6A787A11" w14:textId="77777777" w:rsidR="002577FA" w:rsidRPr="002577FA" w:rsidRDefault="002577FA" w:rsidP="002577FA">
      <w:pPr>
        <w:shd w:val="clear" w:color="auto" w:fill="FFFFFF"/>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Personal data is used to report on the performance of the Organisation including statistical information, customer satisfaction and audits.</w:t>
      </w:r>
    </w:p>
    <w:p w14:paraId="2AEFC893" w14:textId="77777777" w:rsidR="002577FA" w:rsidRPr="002577FA" w:rsidRDefault="002577FA" w:rsidP="002577FA">
      <w:pPr>
        <w:shd w:val="clear" w:color="auto" w:fill="FFFFFF"/>
        <w:spacing w:after="167" w:line="240" w:lineRule="auto"/>
        <w:rPr>
          <w:rFonts w:eastAsia="Times New Roman" w:cstheme="minorHAnsi"/>
          <w:color w:val="555555"/>
          <w:sz w:val="21"/>
          <w:szCs w:val="21"/>
          <w:lang w:eastAsia="en-GB"/>
        </w:rPr>
      </w:pPr>
      <w:r w:rsidRPr="002577FA">
        <w:rPr>
          <w:rFonts w:eastAsia="Times New Roman" w:cstheme="minorHAnsi"/>
          <w:b/>
          <w:bCs/>
          <w:color w:val="555555"/>
          <w:sz w:val="21"/>
          <w:szCs w:val="21"/>
          <w:lang w:eastAsia="en-GB"/>
        </w:rPr>
        <w:t>Personal Data Legal Compliance</w:t>
      </w:r>
    </w:p>
    <w:p w14:paraId="4BEE868B" w14:textId="77777777" w:rsidR="002577FA" w:rsidRPr="002577FA" w:rsidRDefault="002577FA" w:rsidP="002577FA">
      <w:pPr>
        <w:shd w:val="clear" w:color="auto" w:fill="FFFFFF"/>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 xml:space="preserve">Personal data is collected, </w:t>
      </w:r>
      <w:proofErr w:type="gramStart"/>
      <w:r w:rsidRPr="002577FA">
        <w:rPr>
          <w:rFonts w:eastAsia="Times New Roman" w:cstheme="minorHAnsi"/>
          <w:color w:val="555555"/>
          <w:sz w:val="21"/>
          <w:szCs w:val="21"/>
          <w:lang w:eastAsia="en-GB"/>
        </w:rPr>
        <w:t>processed</w:t>
      </w:r>
      <w:proofErr w:type="gramEnd"/>
      <w:r w:rsidRPr="002577FA">
        <w:rPr>
          <w:rFonts w:eastAsia="Times New Roman" w:cstheme="minorHAnsi"/>
          <w:color w:val="555555"/>
          <w:sz w:val="21"/>
          <w:szCs w:val="21"/>
          <w:lang w:eastAsia="en-GB"/>
        </w:rPr>
        <w:t xml:space="preserve"> and stored in accordance with all current Data Regulations.</w:t>
      </w:r>
    </w:p>
    <w:p w14:paraId="18AC65DB" w14:textId="77777777" w:rsidR="002577FA" w:rsidRPr="002577FA" w:rsidRDefault="002577FA" w:rsidP="002577FA">
      <w:pPr>
        <w:shd w:val="clear" w:color="auto" w:fill="FFFFFF"/>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Where possible and practical, personal data is processed with the consent of the person concerned, however, there are times when there is a legal obligation, public interest or legitimate business interest in collating and processing personal data which overrides an individual’s wishes. Examples include for tax and law enforcement requirements.</w:t>
      </w:r>
    </w:p>
    <w:tbl>
      <w:tblPr>
        <w:tblW w:w="975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31"/>
        <w:gridCol w:w="7957"/>
        <w:gridCol w:w="38"/>
        <w:gridCol w:w="126"/>
      </w:tblGrid>
      <w:tr w:rsidR="002577FA" w:rsidRPr="002577FA" w14:paraId="3F6C0308" w14:textId="77777777" w:rsidTr="002577FA">
        <w:trPr>
          <w:gridAfter w:val="1"/>
          <w:tblHeader/>
        </w:trPr>
        <w:tc>
          <w:tcPr>
            <w:tcW w:w="1549"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28CC307E" w14:textId="77777777" w:rsidR="002577FA" w:rsidRPr="002577FA" w:rsidRDefault="002577FA" w:rsidP="002577FA">
            <w:pPr>
              <w:spacing w:after="167" w:line="240" w:lineRule="auto"/>
              <w:rPr>
                <w:rFonts w:eastAsia="Times New Roman" w:cstheme="minorHAnsi"/>
                <w:b/>
                <w:bCs/>
                <w:color w:val="555555"/>
                <w:sz w:val="21"/>
                <w:szCs w:val="21"/>
                <w:lang w:eastAsia="en-GB"/>
              </w:rPr>
            </w:pPr>
            <w:r w:rsidRPr="002577FA">
              <w:rPr>
                <w:rFonts w:eastAsia="Times New Roman" w:cstheme="minorHAnsi"/>
                <w:b/>
                <w:bCs/>
                <w:color w:val="555555"/>
                <w:sz w:val="21"/>
                <w:szCs w:val="21"/>
                <w:lang w:eastAsia="en-GB"/>
              </w:rPr>
              <w:t>Item</w:t>
            </w:r>
          </w:p>
        </w:tc>
        <w:tc>
          <w:tcPr>
            <w:tcW w:w="7941" w:type="dxa"/>
            <w:gridSpan w:val="2"/>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C6D1283" w14:textId="77777777" w:rsidR="002577FA" w:rsidRPr="002577FA" w:rsidRDefault="002577FA" w:rsidP="002577FA">
            <w:pPr>
              <w:spacing w:after="167" w:line="240" w:lineRule="auto"/>
              <w:ind w:right="3814"/>
              <w:rPr>
                <w:rFonts w:eastAsia="Times New Roman" w:cstheme="minorHAnsi"/>
                <w:b/>
                <w:bCs/>
                <w:color w:val="555555"/>
                <w:sz w:val="21"/>
                <w:szCs w:val="21"/>
                <w:lang w:eastAsia="en-GB"/>
              </w:rPr>
            </w:pPr>
            <w:r w:rsidRPr="002577FA">
              <w:rPr>
                <w:rFonts w:eastAsia="Times New Roman" w:cstheme="minorHAnsi"/>
                <w:b/>
                <w:bCs/>
                <w:color w:val="555555"/>
                <w:sz w:val="21"/>
                <w:szCs w:val="21"/>
                <w:lang w:eastAsia="en-GB"/>
              </w:rPr>
              <w:t>Our Response</w:t>
            </w:r>
          </w:p>
        </w:tc>
      </w:tr>
      <w:tr w:rsidR="002577FA" w:rsidRPr="002577FA" w14:paraId="2FA74043" w14:textId="77777777" w:rsidTr="002577FA">
        <w:trPr>
          <w:gridAfter w:val="2"/>
          <w:wAfter w:w="324"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DBD22C6"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1) Data Controller contact details</w:t>
            </w:r>
          </w:p>
        </w:tc>
        <w:tc>
          <w:tcPr>
            <w:tcW w:w="787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BEBC9BD" w14:textId="54EF587B" w:rsidR="002577FA" w:rsidRPr="002577FA" w:rsidRDefault="002577FA" w:rsidP="002577FA">
            <w:pPr>
              <w:spacing w:after="167" w:line="240" w:lineRule="auto"/>
              <w:ind w:right="6"/>
              <w:rPr>
                <w:rFonts w:eastAsia="Times New Roman" w:cstheme="minorHAnsi"/>
                <w:color w:val="555555"/>
                <w:sz w:val="21"/>
                <w:szCs w:val="21"/>
                <w:lang w:eastAsia="en-GB"/>
              </w:rPr>
            </w:pPr>
            <w:proofErr w:type="spellStart"/>
            <w:r>
              <w:rPr>
                <w:rFonts w:eastAsia="Times New Roman" w:cstheme="minorHAnsi"/>
                <w:color w:val="555555"/>
                <w:sz w:val="21"/>
                <w:szCs w:val="21"/>
                <w:lang w:eastAsia="en-GB"/>
              </w:rPr>
              <w:t>Saphestera</w:t>
            </w:r>
            <w:proofErr w:type="spellEnd"/>
            <w:r>
              <w:rPr>
                <w:rFonts w:eastAsia="Times New Roman" w:cstheme="minorHAnsi"/>
                <w:color w:val="555555"/>
                <w:sz w:val="21"/>
                <w:szCs w:val="21"/>
                <w:lang w:eastAsia="en-GB"/>
              </w:rPr>
              <w:t xml:space="preserve"> Limited, 1 Lange Road, Harrow, HA2 6GB</w:t>
            </w:r>
          </w:p>
        </w:tc>
      </w:tr>
      <w:tr w:rsidR="002577FA" w:rsidRPr="002577FA" w14:paraId="3956EB0C" w14:textId="77777777" w:rsidTr="002577FA">
        <w:trPr>
          <w:gridAfter w:val="2"/>
          <w:wAfter w:w="324"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5913B2"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2) Data Protection Officer contact details</w:t>
            </w:r>
          </w:p>
        </w:tc>
        <w:tc>
          <w:tcPr>
            <w:tcW w:w="787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5566D5" w14:textId="34DD908B" w:rsidR="002577FA" w:rsidRPr="002577FA" w:rsidRDefault="002577FA" w:rsidP="002577FA">
            <w:pPr>
              <w:spacing w:after="167" w:line="240" w:lineRule="auto"/>
              <w:ind w:right="6"/>
              <w:rPr>
                <w:rFonts w:eastAsia="Times New Roman" w:cstheme="minorHAnsi"/>
                <w:color w:val="555555"/>
                <w:sz w:val="21"/>
                <w:szCs w:val="21"/>
                <w:lang w:eastAsia="en-GB"/>
              </w:rPr>
            </w:pPr>
            <w:r>
              <w:rPr>
                <w:rFonts w:eastAsia="Times New Roman" w:cstheme="minorHAnsi"/>
                <w:color w:val="555555"/>
                <w:sz w:val="21"/>
                <w:szCs w:val="21"/>
                <w:lang w:eastAsia="en-GB"/>
              </w:rPr>
              <w:t>Dhiren.master@saphestera.com</w:t>
            </w:r>
          </w:p>
        </w:tc>
      </w:tr>
      <w:tr w:rsidR="002577FA" w:rsidRPr="002577FA" w14:paraId="081D2611" w14:textId="77777777" w:rsidTr="002577FA">
        <w:trPr>
          <w:gridAfter w:val="2"/>
          <w:wAfter w:w="324"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683F3F7"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3) Purpose of the processing</w:t>
            </w:r>
          </w:p>
        </w:tc>
        <w:tc>
          <w:tcPr>
            <w:tcW w:w="787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F3324F2" w14:textId="0EAF9302" w:rsidR="002577FA" w:rsidRPr="002577FA" w:rsidRDefault="002577FA" w:rsidP="002577FA">
            <w:pPr>
              <w:spacing w:after="167" w:line="240" w:lineRule="auto"/>
              <w:ind w:right="6"/>
              <w:rPr>
                <w:rFonts w:eastAsia="Times New Roman" w:cstheme="minorHAnsi"/>
                <w:color w:val="555555"/>
                <w:sz w:val="21"/>
                <w:szCs w:val="21"/>
                <w:lang w:eastAsia="en-GB"/>
              </w:rPr>
            </w:pPr>
            <w:r w:rsidRPr="002577FA">
              <w:rPr>
                <w:rFonts w:eastAsia="Times New Roman" w:cstheme="minorHAnsi"/>
                <w:color w:val="555555"/>
                <w:sz w:val="21"/>
                <w:szCs w:val="21"/>
                <w:lang w:eastAsia="en-GB"/>
              </w:rPr>
              <w:t xml:space="preserve">Computerised searches of some or </w:t>
            </w:r>
            <w:proofErr w:type="gramStart"/>
            <w:r w:rsidRPr="002577FA">
              <w:rPr>
                <w:rFonts w:eastAsia="Times New Roman" w:cstheme="minorHAnsi"/>
                <w:color w:val="555555"/>
                <w:sz w:val="21"/>
                <w:szCs w:val="21"/>
                <w:lang w:eastAsia="en-GB"/>
              </w:rPr>
              <w:t>all of</w:t>
            </w:r>
            <w:proofErr w:type="gramEnd"/>
            <w:r w:rsidRPr="002577FA">
              <w:rPr>
                <w:rFonts w:eastAsia="Times New Roman" w:cstheme="minorHAnsi"/>
                <w:color w:val="555555"/>
                <w:sz w:val="21"/>
                <w:szCs w:val="21"/>
                <w:lang w:eastAsia="en-GB"/>
              </w:rPr>
              <w:t xml:space="preserve"> our records to identify </w:t>
            </w:r>
            <w:r>
              <w:rPr>
                <w:rFonts w:eastAsia="Times New Roman" w:cstheme="minorHAnsi"/>
                <w:color w:val="555555"/>
                <w:sz w:val="21"/>
                <w:szCs w:val="21"/>
                <w:lang w:eastAsia="en-GB"/>
              </w:rPr>
              <w:t>when your licences are due for renewal and or useful information regarding use of our software services.</w:t>
            </w:r>
          </w:p>
        </w:tc>
      </w:tr>
      <w:tr w:rsidR="002577FA" w:rsidRPr="002577FA" w14:paraId="59301CBD" w14:textId="77777777" w:rsidTr="002577F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4A1EF5"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lastRenderedPageBreak/>
              <w:t>4) Lawful basis for processing</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929376"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The legal basis for this processing is: Article 6: “necessary …. In the exercise of official authority vested in the Controller” The Organisation recognises your rights established under UK case law collectively known as the “Common Law Duty of Confidentiality”</w:t>
            </w:r>
          </w:p>
        </w:tc>
      </w:tr>
      <w:tr w:rsidR="002577FA" w:rsidRPr="002577FA" w14:paraId="53B99BFF" w14:textId="77777777" w:rsidTr="002577F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CB56B4"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5) Recipient or categories of recipients of the shared data</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4C9FB48"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 xml:space="preserve">Appropriate data will be shared for processing only with those who have a legitimate and contracted business reason. </w:t>
            </w:r>
            <w:proofErr w:type="gramStart"/>
            <w:r w:rsidRPr="002577FA">
              <w:rPr>
                <w:rFonts w:eastAsia="Times New Roman" w:cstheme="minorHAnsi"/>
                <w:color w:val="555555"/>
                <w:sz w:val="21"/>
                <w:szCs w:val="21"/>
                <w:lang w:eastAsia="en-GB"/>
              </w:rPr>
              <w:t>Additionally</w:t>
            </w:r>
            <w:proofErr w:type="gramEnd"/>
            <w:r w:rsidRPr="002577FA">
              <w:rPr>
                <w:rFonts w:eastAsia="Times New Roman" w:cstheme="minorHAnsi"/>
                <w:color w:val="555555"/>
                <w:sz w:val="21"/>
                <w:szCs w:val="21"/>
                <w:lang w:eastAsia="en-GB"/>
              </w:rPr>
              <w:t xml:space="preserve"> only those who have access to your personal details and your vehicles information will only normally have access to that which they need to fulfil their roles.</w:t>
            </w:r>
          </w:p>
        </w:tc>
      </w:tr>
      <w:tr w:rsidR="002577FA" w:rsidRPr="002577FA" w14:paraId="0D049DC1" w14:textId="77777777" w:rsidTr="002577F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A2713D"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6) Rights to object</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DEDE57"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 xml:space="preserve">You have the right to object to the processing where it might result in a decision being made about you. That right is based on implied consent under the Common Law of Confidentiality, Article 22 of GDPR (automated individual decision-making, including profiling) You have the right to object to some or all of the information being shared under certain circumstances but the organisation </w:t>
            </w:r>
            <w:proofErr w:type="gramStart"/>
            <w:r w:rsidRPr="002577FA">
              <w:rPr>
                <w:rFonts w:eastAsia="Times New Roman" w:cstheme="minorHAnsi"/>
                <w:color w:val="555555"/>
                <w:sz w:val="21"/>
                <w:szCs w:val="21"/>
                <w:lang w:eastAsia="en-GB"/>
              </w:rPr>
              <w:t>have</w:t>
            </w:r>
            <w:proofErr w:type="gramEnd"/>
            <w:r w:rsidRPr="002577FA">
              <w:rPr>
                <w:rFonts w:eastAsia="Times New Roman" w:cstheme="minorHAnsi"/>
                <w:color w:val="555555"/>
                <w:sz w:val="21"/>
                <w:szCs w:val="21"/>
                <w:lang w:eastAsia="en-GB"/>
              </w:rPr>
              <w:t xml:space="preserve"> the overriding responsibility to comply with the law. You should be aware that this is a right to raise an objection, which is not the same as having an absolute right to have your wishes granted in every circumstance.</w:t>
            </w:r>
          </w:p>
        </w:tc>
      </w:tr>
      <w:tr w:rsidR="002577FA" w:rsidRPr="002577FA" w14:paraId="1DF0B58F" w14:textId="77777777" w:rsidTr="002577F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524A931"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7) Right to access and correct</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A7B797E"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You have the right to access the data that is being shared (subject access request) and have any inaccuracies corrected. The subject access request should be in writing (</w:t>
            </w:r>
            <w:proofErr w:type="gramStart"/>
            <w:r w:rsidRPr="002577FA">
              <w:rPr>
                <w:rFonts w:eastAsia="Times New Roman" w:cstheme="minorHAnsi"/>
                <w:color w:val="555555"/>
                <w:sz w:val="21"/>
                <w:szCs w:val="21"/>
                <w:lang w:eastAsia="en-GB"/>
              </w:rPr>
              <w:t>i.e.</w:t>
            </w:r>
            <w:proofErr w:type="gramEnd"/>
            <w:r w:rsidRPr="002577FA">
              <w:rPr>
                <w:rFonts w:eastAsia="Times New Roman" w:cstheme="minorHAnsi"/>
                <w:color w:val="555555"/>
                <w:sz w:val="21"/>
                <w:szCs w:val="21"/>
                <w:lang w:eastAsia="en-GB"/>
              </w:rPr>
              <w:t xml:space="preserve"> written word or email) and once the appropriate due diligence identification checks have been verified with the Data Protection Officer, collation of the information requested will be performed, redacted where appropriate and forwarded in a format agreed with the requestor in accordance with data law requirements.</w:t>
            </w:r>
          </w:p>
        </w:tc>
      </w:tr>
      <w:tr w:rsidR="002577FA" w:rsidRPr="002577FA" w14:paraId="3CEF040D" w14:textId="77777777" w:rsidTr="002577F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72002C"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8) Retention period</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7D6DED"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The data will be retained for active use during the processing and thereafter according to the organisations retention policy and data laws.</w:t>
            </w:r>
          </w:p>
        </w:tc>
      </w:tr>
      <w:tr w:rsidR="002577FA" w:rsidRPr="002577FA" w14:paraId="14FF0EEF" w14:textId="77777777" w:rsidTr="002577F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87B303A"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9) Right to Complain</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8F6022D"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Should you have a complaint relating to the handling of your personal identifiable data, in the first instance please forward your concerns to:</w:t>
            </w:r>
          </w:p>
          <w:p w14:paraId="40BE61C6" w14:textId="59A4B57E"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 xml:space="preserve">Via Post: </w:t>
            </w:r>
            <w:r>
              <w:rPr>
                <w:rFonts w:eastAsia="Times New Roman" w:cstheme="minorHAnsi"/>
                <w:color w:val="555555"/>
                <w:sz w:val="21"/>
                <w:szCs w:val="21"/>
                <w:lang w:eastAsia="en-GB"/>
              </w:rPr>
              <w:t xml:space="preserve"> Customer Services,</w:t>
            </w:r>
            <w:r w:rsidR="000613C3">
              <w:rPr>
                <w:rFonts w:eastAsia="Times New Roman" w:cstheme="minorHAnsi"/>
                <w:color w:val="555555"/>
                <w:sz w:val="21"/>
                <w:szCs w:val="21"/>
                <w:lang w:eastAsia="en-GB"/>
              </w:rPr>
              <w:t xml:space="preserve"> </w:t>
            </w:r>
            <w:proofErr w:type="spellStart"/>
            <w:r w:rsidR="000613C3">
              <w:rPr>
                <w:rFonts w:eastAsia="Times New Roman" w:cstheme="minorHAnsi"/>
                <w:color w:val="555555"/>
                <w:sz w:val="21"/>
                <w:szCs w:val="21"/>
                <w:lang w:eastAsia="en-GB"/>
              </w:rPr>
              <w:t>Saphestera</w:t>
            </w:r>
            <w:proofErr w:type="spellEnd"/>
            <w:r w:rsidR="000613C3">
              <w:rPr>
                <w:rFonts w:eastAsia="Times New Roman" w:cstheme="minorHAnsi"/>
                <w:color w:val="555555"/>
                <w:sz w:val="21"/>
                <w:szCs w:val="21"/>
                <w:lang w:eastAsia="en-GB"/>
              </w:rPr>
              <w:t xml:space="preserve"> Limited,</w:t>
            </w:r>
            <w:r>
              <w:rPr>
                <w:rFonts w:eastAsia="Times New Roman" w:cstheme="minorHAnsi"/>
                <w:color w:val="555555"/>
                <w:sz w:val="21"/>
                <w:szCs w:val="21"/>
                <w:lang w:eastAsia="en-GB"/>
              </w:rPr>
              <w:t xml:space="preserve"> 1 Lange Road, Harrow HA2 6FB</w:t>
            </w:r>
          </w:p>
          <w:p w14:paraId="62B9B235" w14:textId="0F1EEA1B"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Via Email: </w:t>
            </w:r>
            <w:r>
              <w:rPr>
                <w:rFonts w:eastAsia="Times New Roman" w:cstheme="minorHAnsi"/>
                <w:color w:val="555555"/>
                <w:sz w:val="21"/>
                <w:szCs w:val="21"/>
                <w:lang w:eastAsia="en-GB"/>
              </w:rPr>
              <w:t>dhiren.master@saphestera.com</w:t>
            </w:r>
            <w:r w:rsidRPr="002577FA">
              <w:rPr>
                <w:rFonts w:eastAsia="Times New Roman" w:cstheme="minorHAnsi"/>
                <w:color w:val="555555"/>
                <w:sz w:val="21"/>
                <w:szCs w:val="21"/>
                <w:lang w:eastAsia="en-GB"/>
              </w:rPr>
              <w:t xml:space="preserve"> </w:t>
            </w:r>
          </w:p>
          <w:p w14:paraId="08F68DD3" w14:textId="540BEBFB"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Via Internet: Via the contact forms on our website at: </w:t>
            </w:r>
            <w:r>
              <w:rPr>
                <w:rFonts w:eastAsia="Times New Roman" w:cstheme="minorHAnsi"/>
                <w:color w:val="555555"/>
                <w:sz w:val="21"/>
                <w:szCs w:val="21"/>
                <w:lang w:eastAsia="en-GB"/>
              </w:rPr>
              <w:t>saphestera.com</w:t>
            </w:r>
            <w:r w:rsidRPr="002577FA">
              <w:rPr>
                <w:rFonts w:eastAsia="Times New Roman" w:cstheme="minorHAnsi"/>
                <w:color w:val="555555"/>
                <w:sz w:val="21"/>
                <w:szCs w:val="21"/>
                <w:lang w:eastAsia="en-GB"/>
              </w:rPr>
              <w:t xml:space="preserve"> </w:t>
            </w:r>
          </w:p>
          <w:p w14:paraId="4F75B4A3" w14:textId="1BF552AD"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Thereafter if you believe the Organisation has not addressed your complaint related to the management of your personal data you have the right to complain to the Information Commissioner’s Office, you can use this link </w:t>
            </w:r>
            <w:hyperlink r:id="rId4" w:history="1">
              <w:r w:rsidRPr="002577FA">
                <w:rPr>
                  <w:rFonts w:eastAsia="Times New Roman" w:cstheme="minorHAnsi"/>
                  <w:color w:val="337AB7"/>
                  <w:sz w:val="21"/>
                  <w:szCs w:val="21"/>
                  <w:u w:val="single"/>
                  <w:lang w:eastAsia="en-GB"/>
                </w:rPr>
                <w:t>https://ico.org.uk/global/contact-us/</w:t>
              </w:r>
            </w:hyperlink>
            <w:r>
              <w:rPr>
                <w:rFonts w:eastAsia="Times New Roman" w:cstheme="minorHAnsi"/>
                <w:color w:val="555555"/>
                <w:sz w:val="21"/>
                <w:szCs w:val="21"/>
                <w:lang w:eastAsia="en-GB"/>
              </w:rPr>
              <w:t xml:space="preserve"> </w:t>
            </w:r>
            <w:r w:rsidRPr="002577FA">
              <w:rPr>
                <w:rFonts w:eastAsia="Times New Roman" w:cstheme="minorHAnsi"/>
                <w:color w:val="555555"/>
                <w:sz w:val="21"/>
                <w:szCs w:val="21"/>
                <w:lang w:eastAsia="en-GB"/>
              </w:rPr>
              <w:t>or calling their helpline Tel: 0303 123 1113 (local rate) or 01625 545 745 (national rate)</w:t>
            </w:r>
          </w:p>
          <w:p w14:paraId="719FA80E" w14:textId="77777777" w:rsidR="002577FA" w:rsidRPr="002577FA" w:rsidRDefault="002577FA" w:rsidP="002577FA">
            <w:pPr>
              <w:spacing w:after="167" w:line="240" w:lineRule="auto"/>
              <w:rPr>
                <w:rFonts w:eastAsia="Times New Roman" w:cstheme="minorHAnsi"/>
                <w:color w:val="555555"/>
                <w:sz w:val="21"/>
                <w:szCs w:val="21"/>
                <w:lang w:eastAsia="en-GB"/>
              </w:rPr>
            </w:pPr>
            <w:r w:rsidRPr="002577FA">
              <w:rPr>
                <w:rFonts w:eastAsia="Times New Roman" w:cstheme="minorHAnsi"/>
                <w:color w:val="555555"/>
                <w:sz w:val="21"/>
                <w:szCs w:val="21"/>
                <w:lang w:eastAsia="en-GB"/>
              </w:rPr>
              <w:t xml:space="preserve">There are National Offices for Scotland, Northern </w:t>
            </w:r>
            <w:proofErr w:type="gramStart"/>
            <w:r w:rsidRPr="002577FA">
              <w:rPr>
                <w:rFonts w:eastAsia="Times New Roman" w:cstheme="minorHAnsi"/>
                <w:color w:val="555555"/>
                <w:sz w:val="21"/>
                <w:szCs w:val="21"/>
                <w:lang w:eastAsia="en-GB"/>
              </w:rPr>
              <w:t>Ireland</w:t>
            </w:r>
            <w:proofErr w:type="gramEnd"/>
            <w:r w:rsidRPr="002577FA">
              <w:rPr>
                <w:rFonts w:eastAsia="Times New Roman" w:cstheme="minorHAnsi"/>
                <w:color w:val="555555"/>
                <w:sz w:val="21"/>
                <w:szCs w:val="21"/>
                <w:lang w:eastAsia="en-GB"/>
              </w:rPr>
              <w:t xml:space="preserve"> and Wales, (see ICO website)</w:t>
            </w:r>
          </w:p>
        </w:tc>
      </w:tr>
    </w:tbl>
    <w:p w14:paraId="30A19B29" w14:textId="77777777" w:rsidR="00C22B53" w:rsidRPr="002577FA" w:rsidRDefault="00C22B53" w:rsidP="002577FA">
      <w:pPr>
        <w:spacing w:line="240" w:lineRule="auto"/>
        <w:rPr>
          <w:rFonts w:cstheme="minorHAnsi"/>
        </w:rPr>
      </w:pPr>
    </w:p>
    <w:sectPr w:rsidR="00C22B53" w:rsidRPr="00257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03"/>
    <w:rsid w:val="00014554"/>
    <w:rsid w:val="000613C3"/>
    <w:rsid w:val="001B56E4"/>
    <w:rsid w:val="002577FA"/>
    <w:rsid w:val="00387903"/>
    <w:rsid w:val="00675E03"/>
    <w:rsid w:val="00AB6E50"/>
    <w:rsid w:val="00C2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D1AA"/>
  <w15:chartTrackingRefBased/>
  <w15:docId w15:val="{011CEAE5-D3BF-41C8-BE9A-DB7445C9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7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7F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57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7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261970">
      <w:bodyDiv w:val="1"/>
      <w:marLeft w:val="0"/>
      <w:marRight w:val="0"/>
      <w:marTop w:val="0"/>
      <w:marBottom w:val="0"/>
      <w:divBdr>
        <w:top w:val="none" w:sz="0" w:space="0" w:color="auto"/>
        <w:left w:val="none" w:sz="0" w:space="0" w:color="auto"/>
        <w:bottom w:val="none" w:sz="0" w:space="0" w:color="auto"/>
        <w:right w:val="none" w:sz="0" w:space="0" w:color="auto"/>
      </w:divBdr>
      <w:divsChild>
        <w:div w:id="1494763415">
          <w:marLeft w:val="-225"/>
          <w:marRight w:val="-225"/>
          <w:marTop w:val="0"/>
          <w:marBottom w:val="0"/>
          <w:divBdr>
            <w:top w:val="none" w:sz="0" w:space="0" w:color="auto"/>
            <w:left w:val="none" w:sz="0" w:space="0" w:color="auto"/>
            <w:bottom w:val="none" w:sz="0" w:space="0" w:color="auto"/>
            <w:right w:val="none" w:sz="0" w:space="0" w:color="auto"/>
          </w:divBdr>
          <w:divsChild>
            <w:div w:id="1355573411">
              <w:marLeft w:val="0"/>
              <w:marRight w:val="0"/>
              <w:marTop w:val="0"/>
              <w:marBottom w:val="0"/>
              <w:divBdr>
                <w:top w:val="none" w:sz="0" w:space="0" w:color="auto"/>
                <w:left w:val="none" w:sz="0" w:space="0" w:color="auto"/>
                <w:bottom w:val="none" w:sz="0" w:space="0" w:color="auto"/>
                <w:right w:val="none" w:sz="0" w:space="0" w:color="auto"/>
              </w:divBdr>
            </w:div>
          </w:divsChild>
        </w:div>
        <w:div w:id="1458183806">
          <w:marLeft w:val="-225"/>
          <w:marRight w:val="-225"/>
          <w:marTop w:val="0"/>
          <w:marBottom w:val="0"/>
          <w:divBdr>
            <w:top w:val="none" w:sz="0" w:space="0" w:color="auto"/>
            <w:left w:val="none" w:sz="0" w:space="0" w:color="auto"/>
            <w:bottom w:val="none" w:sz="0" w:space="0" w:color="auto"/>
            <w:right w:val="none" w:sz="0" w:space="0" w:color="auto"/>
          </w:divBdr>
          <w:divsChild>
            <w:div w:id="381027180">
              <w:marLeft w:val="0"/>
              <w:marRight w:val="0"/>
              <w:marTop w:val="0"/>
              <w:marBottom w:val="0"/>
              <w:divBdr>
                <w:top w:val="none" w:sz="0" w:space="0" w:color="auto"/>
                <w:left w:val="none" w:sz="0" w:space="0" w:color="auto"/>
                <w:bottom w:val="none" w:sz="0" w:space="0" w:color="auto"/>
                <w:right w:val="none" w:sz="0" w:space="0" w:color="auto"/>
              </w:divBdr>
            </w:div>
          </w:divsChild>
        </w:div>
        <w:div w:id="1758089184">
          <w:marLeft w:val="-225"/>
          <w:marRight w:val="-225"/>
          <w:marTop w:val="0"/>
          <w:marBottom w:val="0"/>
          <w:divBdr>
            <w:top w:val="none" w:sz="0" w:space="0" w:color="auto"/>
            <w:left w:val="none" w:sz="0" w:space="0" w:color="auto"/>
            <w:bottom w:val="none" w:sz="0" w:space="0" w:color="auto"/>
            <w:right w:val="none" w:sz="0" w:space="0" w:color="auto"/>
          </w:divBdr>
          <w:divsChild>
            <w:div w:id="3369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Dhiren Master</dc:creator>
  <cp:keywords/>
  <dc:description/>
  <cp:lastModifiedBy>Dhiren Master</cp:lastModifiedBy>
  <cp:revision>5</cp:revision>
  <dcterms:created xsi:type="dcterms:W3CDTF">2021-01-05T13:43:00Z</dcterms:created>
  <dcterms:modified xsi:type="dcterms:W3CDTF">2021-01-05T17:19:00Z</dcterms:modified>
</cp:coreProperties>
</file>